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BF" w:rsidRPr="00D64361" w:rsidRDefault="00FB1728" w:rsidP="00864EBF">
      <w:pPr>
        <w:rPr>
          <w:sz w:val="24"/>
          <w:szCs w:val="24"/>
          <w:u w:val="single"/>
          <w:lang w:eastAsia="zh-TW"/>
        </w:rPr>
      </w:pPr>
      <w:r w:rsidRPr="00D64361">
        <w:rPr>
          <w:rFonts w:ascii="Book Antiqua" w:eastAsia="標楷體" w:hAnsi="Book Antiqua" w:hint="eastAsia"/>
          <w:sz w:val="24"/>
          <w:szCs w:val="24"/>
          <w:lang w:eastAsia="zh-TW"/>
        </w:rPr>
        <w:t xml:space="preserve">        </w:t>
      </w:r>
    </w:p>
    <w:p w:rsidR="00D21B5A" w:rsidRPr="00D64361" w:rsidRDefault="00864EBF" w:rsidP="00D64361">
      <w:pPr>
        <w:rPr>
          <w:sz w:val="24"/>
          <w:szCs w:val="24"/>
        </w:rPr>
      </w:pPr>
      <w:r w:rsidRPr="00D64361">
        <w:rPr>
          <w:rFonts w:hint="eastAsia"/>
          <w:sz w:val="24"/>
          <w:szCs w:val="24"/>
          <w:lang w:eastAsia="zh-TW"/>
        </w:rPr>
        <w:t xml:space="preserve"> </w:t>
      </w:r>
    </w:p>
    <w:tbl>
      <w:tblPr>
        <w:tblW w:w="6300" w:type="dxa"/>
        <w:tblCellMar>
          <w:left w:w="0" w:type="dxa"/>
          <w:right w:w="0" w:type="dxa"/>
        </w:tblCellMar>
        <w:tblLook w:val="0000"/>
      </w:tblPr>
      <w:tblGrid>
        <w:gridCol w:w="3142"/>
        <w:gridCol w:w="3143"/>
        <w:gridCol w:w="15"/>
      </w:tblGrid>
      <w:tr w:rsidR="00D21B5A" w:rsidRPr="0065554E" w:rsidTr="006D0180">
        <w:trPr>
          <w:gridAfter w:val="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9933"/>
            <w:vAlign w:val="center"/>
          </w:tcPr>
          <w:p w:rsidR="00D21B5A" w:rsidRPr="0065554E" w:rsidRDefault="00D21B5A" w:rsidP="006D0180">
            <w:pPr>
              <w:rPr>
                <w:color w:val="FFFFFF"/>
              </w:rPr>
            </w:pPr>
            <w:r w:rsidRPr="00D21B5A">
              <w:rPr>
                <w:color w:val="FFFFFF"/>
                <w:sz w:val="28"/>
              </w:rPr>
              <w:t>歐盟已制定的指令：</w:t>
            </w:r>
            <w:r w:rsidRPr="0065554E">
              <w:rPr>
                <w:color w:val="FFFFFF"/>
              </w:rPr>
              <w:t xml:space="preserve"> </w:t>
            </w:r>
          </w:p>
        </w:tc>
      </w:tr>
      <w:tr w:rsidR="00D21B5A" w:rsidRPr="0065554E" w:rsidTr="006D018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B5A" w:rsidRPr="0065554E" w:rsidRDefault="00D21B5A" w:rsidP="006D0180">
            <w:pPr>
              <w:rPr>
                <w:rFonts w:ascii="新細明體" w:hAnsi="新細明體" w:cs="新細明體"/>
              </w:rPr>
            </w:pPr>
            <w:r w:rsidRPr="0065554E">
              <w:rPr>
                <w:rFonts w:ascii="Arial" w:hAnsi="Arial" w:cs="Arial"/>
                <w:b/>
                <w:bCs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B5A" w:rsidRPr="0065554E" w:rsidRDefault="00D21B5A" w:rsidP="006D0180">
            <w:pPr>
              <w:rPr>
                <w:rFonts w:ascii="新細明體" w:hAnsi="新細明體" w:cs="新細明體"/>
              </w:rPr>
            </w:pPr>
            <w:r w:rsidRPr="0065554E">
              <w:rPr>
                <w:rFonts w:ascii="新細明體" w:hAnsi="新細明體" w:cs="新細明體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B5A" w:rsidRPr="0065554E" w:rsidRDefault="00D21B5A" w:rsidP="006D018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D21B5A" w:rsidRPr="007827C8" w:rsidRDefault="00D21B5A" w:rsidP="00D21B5A">
      <w:pPr>
        <w:shd w:val="clear" w:color="auto" w:fill="FFFFFF"/>
        <w:spacing w:line="300" w:lineRule="atLeast"/>
        <w:ind w:firstLine="480"/>
        <w:rPr>
          <w:rFonts w:ascii="Arial" w:hAnsi="Arial" w:cs="Arial"/>
          <w:color w:val="333333"/>
          <w:lang w:eastAsia="zh-CN"/>
        </w:rPr>
      </w:pPr>
      <w:r w:rsidRPr="007827C8">
        <w:rPr>
          <w:rFonts w:ascii="Arial" w:hAnsi="Arial" w:cs="Arial"/>
          <w:color w:val="333333"/>
        </w:rPr>
        <w:t>“</w:t>
      </w:r>
      <w:hyperlink r:id="rId8" w:tgtFrame="_blank" w:history="1">
        <w:r w:rsidRPr="007827C8">
          <w:rPr>
            <w:rFonts w:ascii="Arial" w:hAnsi="Arial" w:cs="Arial"/>
            <w:color w:val="136EC2"/>
          </w:rPr>
          <w:t>CE</w:t>
        </w:r>
      </w:hyperlink>
      <w:r w:rsidRPr="007827C8">
        <w:rPr>
          <w:rFonts w:ascii="Arial" w:hAnsi="Arial" w:cs="Arial"/>
          <w:color w:val="333333"/>
        </w:rPr>
        <w:t>”</w:t>
      </w:r>
      <w:r w:rsidRPr="007827C8">
        <w:rPr>
          <w:rFonts w:ascii="Arial" w:hAnsi="Arial" w:cs="Arial" w:hint="eastAsia"/>
          <w:color w:val="333333"/>
        </w:rPr>
        <w:t>標誌是一種</w:t>
      </w:r>
      <w:hyperlink r:id="rId9" w:tgtFrame="_blank" w:history="1">
        <w:r w:rsidRPr="007827C8">
          <w:rPr>
            <w:rFonts w:ascii="Arial" w:hAnsi="Arial" w:cs="Arial" w:hint="eastAsia"/>
            <w:color w:val="136EC2"/>
            <w:u w:val="single"/>
          </w:rPr>
          <w:t>安全認證</w:t>
        </w:r>
      </w:hyperlink>
      <w:r w:rsidRPr="007827C8">
        <w:rPr>
          <w:rFonts w:ascii="Arial" w:hAnsi="Arial" w:cs="Arial" w:hint="eastAsia"/>
          <w:color w:val="333333"/>
        </w:rPr>
        <w:t>標誌，被視為製造商打開並進入歐洲市場的護照。</w:t>
      </w:r>
      <w:r w:rsidRPr="007827C8">
        <w:rPr>
          <w:rFonts w:ascii="Arial" w:hAnsi="Arial" w:cs="Arial"/>
          <w:color w:val="333333"/>
        </w:rPr>
        <w:t>CE</w:t>
      </w:r>
      <w:r w:rsidRPr="007827C8">
        <w:rPr>
          <w:rFonts w:ascii="Arial" w:hAnsi="Arial" w:cs="Arial" w:hint="eastAsia"/>
          <w:color w:val="333333"/>
        </w:rPr>
        <w:t>代表歐洲統一</w:t>
      </w:r>
      <w:r w:rsidRPr="007827C8">
        <w:rPr>
          <w:rFonts w:ascii="Arial" w:hAnsi="Arial" w:cs="Arial"/>
          <w:color w:val="333333"/>
        </w:rPr>
        <w:t>CONFORMITE EUROPEENNE</w:t>
      </w:r>
      <w:r w:rsidRPr="007827C8">
        <w:rPr>
          <w:rFonts w:ascii="Arial" w:hAnsi="Arial" w:cs="Arial" w:hint="eastAsia"/>
          <w:color w:val="333333"/>
        </w:rPr>
        <w:t>）。</w:t>
      </w:r>
    </w:p>
    <w:p w:rsidR="00D21B5A" w:rsidRPr="007827C8" w:rsidRDefault="00D21B5A" w:rsidP="00D21B5A">
      <w:pPr>
        <w:shd w:val="clear" w:color="auto" w:fill="FFFFFF"/>
        <w:spacing w:line="300" w:lineRule="atLeast"/>
        <w:ind w:firstLine="480"/>
        <w:rPr>
          <w:rFonts w:ascii="Arial" w:hAnsi="Arial" w:cs="Arial"/>
          <w:color w:val="333333"/>
        </w:rPr>
      </w:pPr>
      <w:r w:rsidRPr="007827C8">
        <w:rPr>
          <w:rFonts w:ascii="Arial" w:hAnsi="Arial" w:cs="Arial" w:hint="eastAsia"/>
          <w:color w:val="333333"/>
        </w:rPr>
        <w:t>在歐盟市場</w:t>
      </w:r>
      <w:r w:rsidRPr="007827C8">
        <w:rPr>
          <w:rFonts w:ascii="Arial" w:hAnsi="Arial" w:cs="Arial"/>
          <w:color w:val="333333"/>
        </w:rPr>
        <w:t>“CE”</w:t>
      </w:r>
      <w:r w:rsidRPr="007827C8">
        <w:rPr>
          <w:rFonts w:ascii="Arial" w:hAnsi="Arial" w:cs="Arial" w:hint="eastAsia"/>
          <w:color w:val="333333"/>
        </w:rPr>
        <w:t>標誌屬</w:t>
      </w:r>
      <w:hyperlink r:id="rId10" w:tgtFrame="_blank" w:history="1">
        <w:r w:rsidRPr="007827C8">
          <w:rPr>
            <w:rFonts w:ascii="Arial" w:hAnsi="Arial" w:cs="Arial" w:hint="eastAsia"/>
            <w:color w:val="136EC2"/>
          </w:rPr>
          <w:t>強制性認證</w:t>
        </w:r>
      </w:hyperlink>
      <w:r w:rsidRPr="007827C8">
        <w:rPr>
          <w:rFonts w:ascii="Arial" w:hAnsi="Arial" w:cs="Arial" w:hint="eastAsia"/>
          <w:color w:val="333333"/>
        </w:rPr>
        <w:t>標誌，不論是歐盟內部企業生產的產品，還是其他國家生產的產品，要想在歐盟市場上自由流通，就必須加貼</w:t>
      </w:r>
      <w:r w:rsidRPr="007827C8">
        <w:rPr>
          <w:rFonts w:ascii="Arial" w:hAnsi="Arial" w:cs="Arial"/>
          <w:color w:val="333333"/>
        </w:rPr>
        <w:t>“CE”</w:t>
      </w:r>
      <w:r w:rsidRPr="007827C8">
        <w:rPr>
          <w:rFonts w:ascii="Arial" w:hAnsi="Arial" w:cs="Arial" w:hint="eastAsia"/>
          <w:color w:val="333333"/>
        </w:rPr>
        <w:t>標誌，以表明產品符合歐盟《技術協調與標準化新方法》指令的基本要求。這是歐盟法律對產品提出的一種強制性要求。</w:t>
      </w:r>
    </w:p>
    <w:p w:rsidR="00D21B5A" w:rsidRDefault="00D21B5A" w:rsidP="00D21B5A">
      <w:pPr>
        <w:rPr>
          <w:rFonts w:hint="eastAsia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"/>
        <w:gridCol w:w="2299"/>
        <w:gridCol w:w="3444"/>
        <w:gridCol w:w="3177"/>
      </w:tblGrid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指令編號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指令名稱</w:t>
            </w:r>
            <w:r w:rsidRPr="00782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7827C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英文</w:t>
            </w:r>
            <w:r w:rsidRPr="00782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指令名稱</w:t>
            </w:r>
            <w:r w:rsidRPr="00782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7827C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中文</w:t>
            </w:r>
            <w:r w:rsidRPr="00782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2000/9/EC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Cableway installations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000000"/>
                <w:sz w:val="20"/>
                <w:szCs w:val="20"/>
              </w:rPr>
              <w:t>索道裝置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(EC) 1907/2006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Chemical substances (REACH)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000000"/>
                <w:sz w:val="20"/>
                <w:szCs w:val="20"/>
              </w:rPr>
              <w:t>化學物質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89/106/EEC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Construction products (CPD)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000000"/>
                <w:sz w:val="20"/>
                <w:szCs w:val="20"/>
              </w:rPr>
              <w:t>建築產品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(EU) 305/2011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Construction products (CPR)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000000"/>
                <w:sz w:val="20"/>
                <w:szCs w:val="20"/>
              </w:rPr>
              <w:t>建築產品法規指令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333333"/>
                <w:sz w:val="20"/>
                <w:szCs w:val="20"/>
              </w:rPr>
              <w:t>(EC) 1223/2009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Cosmetics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333333"/>
                <w:sz w:val="20"/>
                <w:szCs w:val="20"/>
              </w:rPr>
              <w:t>化妝品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333333"/>
                <w:sz w:val="20"/>
                <w:szCs w:val="20"/>
              </w:rPr>
              <w:t>92/42/EEC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Eco design hot-water boilers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333333"/>
                <w:sz w:val="20"/>
                <w:szCs w:val="20"/>
              </w:rPr>
              <w:t>熱水鍋爐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333333"/>
                <w:sz w:val="20"/>
                <w:szCs w:val="20"/>
              </w:rPr>
              <w:t>2010/30/EU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Eco designand energy labelling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333333"/>
                <w:sz w:val="20"/>
                <w:szCs w:val="20"/>
              </w:rPr>
              <w:t>生態設計和能源標籤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333333"/>
                <w:sz w:val="20"/>
                <w:szCs w:val="20"/>
              </w:rPr>
              <w:t>2009/125/EC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Eco designand energy labelling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333333"/>
                <w:sz w:val="20"/>
                <w:szCs w:val="20"/>
              </w:rPr>
              <w:t>生態設計和能源標籤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333333"/>
                <w:sz w:val="20"/>
                <w:szCs w:val="20"/>
              </w:rPr>
              <w:t>(EC) 1221/2009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Eco managementand audit scheme (EMAS)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333333"/>
                <w:sz w:val="20"/>
                <w:szCs w:val="20"/>
              </w:rPr>
              <w:t>生態管理和審計計畫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333333"/>
                <w:sz w:val="20"/>
                <w:szCs w:val="20"/>
              </w:rPr>
              <w:t>2004/108/EC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Electromagneti compatability (EMC)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333333"/>
                <w:sz w:val="20"/>
                <w:szCs w:val="20"/>
              </w:rPr>
              <w:t>電磁相容指令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333333"/>
                <w:sz w:val="20"/>
                <w:szCs w:val="20"/>
              </w:rPr>
              <w:t>94/9/EC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Equipment for explosive atmospheres (ATEX)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000000"/>
                <w:sz w:val="20"/>
                <w:szCs w:val="20"/>
              </w:rPr>
              <w:t>防爆指令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333333"/>
                <w:sz w:val="20"/>
                <w:szCs w:val="20"/>
              </w:rPr>
              <w:t>93/15/EEC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Explosives for civil uses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333333"/>
                <w:sz w:val="20"/>
                <w:szCs w:val="20"/>
              </w:rPr>
              <w:t>民用爆炸物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333333"/>
                <w:sz w:val="20"/>
                <w:szCs w:val="20"/>
              </w:rPr>
              <w:t>2009/142/EC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Gas appliances (GAD)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333333"/>
                <w:sz w:val="20"/>
                <w:szCs w:val="20"/>
              </w:rPr>
              <w:t>燃氣具指令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333333"/>
                <w:sz w:val="20"/>
                <w:szCs w:val="20"/>
              </w:rPr>
              <w:t>95/16/EC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Lifts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333333"/>
                <w:sz w:val="20"/>
                <w:szCs w:val="20"/>
              </w:rPr>
              <w:t>電梯指令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333333"/>
                <w:sz w:val="20"/>
                <w:szCs w:val="20"/>
              </w:rPr>
              <w:t>2006/95/EC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Low Voltage (LVD)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333333"/>
                <w:sz w:val="20"/>
                <w:szCs w:val="20"/>
              </w:rPr>
              <w:t>低電壓指令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333333"/>
                <w:sz w:val="20"/>
                <w:szCs w:val="20"/>
              </w:rPr>
              <w:t>2006/42/EC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Machinery (MD)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333333"/>
                <w:sz w:val="20"/>
                <w:szCs w:val="20"/>
              </w:rPr>
              <w:t>機械指令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333333"/>
                <w:sz w:val="20"/>
                <w:szCs w:val="20"/>
              </w:rPr>
              <w:t>2004/22/EC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Measuring instruments (MID)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333333"/>
                <w:sz w:val="20"/>
                <w:szCs w:val="20"/>
              </w:rPr>
              <w:t>計量器具指令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333333"/>
                <w:sz w:val="20"/>
                <w:szCs w:val="20"/>
              </w:rPr>
              <w:t>93/42/EEC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Medical devices (MDD)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333333"/>
                <w:sz w:val="20"/>
                <w:szCs w:val="20"/>
              </w:rPr>
              <w:t>醫療設備指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90/385/EEC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Medical devices: active implantable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333333"/>
                <w:sz w:val="20"/>
                <w:szCs w:val="20"/>
              </w:rPr>
              <w:t>主動植入式醫療設備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333333"/>
                <w:sz w:val="20"/>
                <w:szCs w:val="20"/>
              </w:rPr>
              <w:t>98/79/EC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Medical devices: in vitro diagnostic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333333"/>
                <w:sz w:val="20"/>
                <w:szCs w:val="20"/>
              </w:rPr>
              <w:t>體外診斷式醫療設備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333333"/>
                <w:sz w:val="20"/>
                <w:szCs w:val="20"/>
              </w:rPr>
              <w:t>(EC) 765/2008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New legislative framework (NLF)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333333"/>
                <w:sz w:val="20"/>
                <w:szCs w:val="20"/>
              </w:rPr>
              <w:t>新的立法框架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333333"/>
                <w:sz w:val="20"/>
                <w:szCs w:val="20"/>
              </w:rPr>
              <w:t>2009/23/EC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Non-automatic weighing instruments (NAWI)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333333"/>
                <w:sz w:val="20"/>
                <w:szCs w:val="20"/>
              </w:rPr>
              <w:t>非自動衡器指令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333333"/>
                <w:sz w:val="20"/>
                <w:szCs w:val="20"/>
              </w:rPr>
              <w:t>94/62/EC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Packaging and packaging waste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333333"/>
                <w:sz w:val="20"/>
                <w:szCs w:val="20"/>
              </w:rPr>
              <w:t>包裝和包裝廢棄物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333333"/>
                <w:sz w:val="20"/>
                <w:szCs w:val="20"/>
              </w:rPr>
              <w:t>89/686/EEC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Personal protective equipment (PPE)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333333"/>
                <w:sz w:val="20"/>
                <w:szCs w:val="20"/>
              </w:rPr>
              <w:t>個人防護指令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333333"/>
                <w:sz w:val="20"/>
                <w:szCs w:val="20"/>
              </w:rPr>
              <w:t>97/23/EC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Pressure equipment (PED)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333333"/>
                <w:sz w:val="20"/>
                <w:szCs w:val="20"/>
              </w:rPr>
              <w:t>壓力設備指令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333333"/>
                <w:sz w:val="20"/>
                <w:szCs w:val="20"/>
              </w:rPr>
              <w:t>2007/23/EC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Pyrotechnic articles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333333"/>
                <w:sz w:val="20"/>
                <w:szCs w:val="20"/>
              </w:rPr>
              <w:t>煙火用品指令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333333"/>
                <w:sz w:val="20"/>
                <w:szCs w:val="20"/>
              </w:rPr>
              <w:t>1999/5/EC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Radio and telecommunications terminal equipment (RTTE)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zh-CN"/>
              </w:rPr>
            </w:pPr>
            <w:r w:rsidRPr="007827C8">
              <w:rPr>
                <w:rFonts w:ascii="Arial" w:hAnsi="Arial" w:cs="Arial" w:hint="eastAsia"/>
                <w:color w:val="333333"/>
                <w:sz w:val="20"/>
                <w:szCs w:val="20"/>
              </w:rPr>
              <w:t>無線電設備和電信終端設備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333333"/>
                <w:sz w:val="20"/>
                <w:szCs w:val="20"/>
              </w:rPr>
              <w:t>2008/57/EC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Rail system: interoperability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333333"/>
                <w:sz w:val="20"/>
                <w:szCs w:val="20"/>
              </w:rPr>
              <w:t>鐵路系統的互通性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333333"/>
                <w:sz w:val="20"/>
                <w:szCs w:val="20"/>
              </w:rPr>
              <w:t>94/25/EC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Recreational craft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333333"/>
                <w:sz w:val="20"/>
                <w:szCs w:val="20"/>
              </w:rPr>
              <w:t>娛樂遊艇指令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2011/65/EU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Restriction of the use of certain hazardous substances (RoHS)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827C8">
              <w:rPr>
                <w:rFonts w:ascii="Arial" w:hAnsi="Arial" w:cs="Arial" w:hint="eastAsia"/>
                <w:color w:val="000000"/>
                <w:sz w:val="20"/>
                <w:szCs w:val="20"/>
              </w:rPr>
              <w:t>限制使用某些有害物質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2009/105/EC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Simple Pressure Vessels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000000"/>
                <w:sz w:val="20"/>
                <w:szCs w:val="20"/>
              </w:rPr>
              <w:t>簡單壓力容器</w:t>
            </w:r>
          </w:p>
        </w:tc>
      </w:tr>
      <w:tr w:rsidR="00D21B5A" w:rsidRPr="007827C8" w:rsidTr="00D21B5A">
        <w:trPr>
          <w:trHeight w:val="264"/>
        </w:trPr>
        <w:tc>
          <w:tcPr>
            <w:tcW w:w="536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5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2009/48/EC</w:t>
            </w:r>
          </w:p>
        </w:tc>
        <w:tc>
          <w:tcPr>
            <w:tcW w:w="1723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/>
                <w:color w:val="000000"/>
                <w:sz w:val="20"/>
                <w:szCs w:val="20"/>
              </w:rPr>
              <w:t>Toys safety</w:t>
            </w:r>
          </w:p>
        </w:tc>
        <w:tc>
          <w:tcPr>
            <w:tcW w:w="1590" w:type="pc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D21B5A" w:rsidRPr="007827C8" w:rsidRDefault="00D21B5A" w:rsidP="006D0180">
            <w:pPr>
              <w:wordWrap w:val="0"/>
              <w:spacing w:line="26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7C8">
              <w:rPr>
                <w:rFonts w:ascii="Arial" w:hAnsi="Arial" w:cs="Arial" w:hint="eastAsia"/>
                <w:color w:val="000000"/>
                <w:sz w:val="20"/>
                <w:szCs w:val="20"/>
              </w:rPr>
              <w:t>玩具指令</w:t>
            </w:r>
          </w:p>
        </w:tc>
      </w:tr>
    </w:tbl>
    <w:p w:rsidR="00D21B5A" w:rsidRDefault="00D21B5A" w:rsidP="00D21B5A">
      <w:pPr>
        <w:rPr>
          <w:rFonts w:hint="eastAsia"/>
        </w:rPr>
      </w:pPr>
    </w:p>
    <w:p w:rsidR="00D64361" w:rsidRPr="00D64361" w:rsidRDefault="00D64361" w:rsidP="00D64361">
      <w:pPr>
        <w:rPr>
          <w:sz w:val="24"/>
          <w:szCs w:val="24"/>
        </w:rPr>
      </w:pPr>
    </w:p>
    <w:p w:rsidR="002F34E4" w:rsidRPr="00D64361" w:rsidRDefault="002F34E4" w:rsidP="009220E5">
      <w:pPr>
        <w:pStyle w:val="ae"/>
        <w:rPr>
          <w:rFonts w:ascii="標楷體" w:eastAsia="標楷體" w:hAnsi="標楷體"/>
          <w:sz w:val="24"/>
          <w:szCs w:val="24"/>
          <w:lang w:eastAsia="zh-TW"/>
        </w:rPr>
      </w:pPr>
    </w:p>
    <w:sectPr w:rsidR="002F34E4" w:rsidRPr="00D64361" w:rsidSect="000B67AA">
      <w:headerReference w:type="default" r:id="rId11"/>
      <w:footerReference w:type="default" r:id="rId12"/>
      <w:pgSz w:w="11906" w:h="16838" w:code="9"/>
      <w:pgMar w:top="1588" w:right="1077" w:bottom="907" w:left="1077" w:header="454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9F6" w:rsidRDefault="00ED69F6" w:rsidP="00730B0A">
      <w:pPr>
        <w:spacing w:after="0" w:line="240" w:lineRule="auto"/>
      </w:pPr>
      <w:r>
        <w:separator/>
      </w:r>
    </w:p>
  </w:endnote>
  <w:endnote w:type="continuationSeparator" w:id="1">
    <w:p w:rsidR="00ED69F6" w:rsidRDefault="00ED69F6" w:rsidP="0073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B6" w:rsidRDefault="00451DB2" w:rsidP="00EA6D04">
    <w:pPr>
      <w:pStyle w:val="a5"/>
      <w:rPr>
        <w:lang w:eastAsia="zh-TW"/>
      </w:rPr>
    </w:pPr>
    <w:r w:rsidRPr="00451DB2">
      <w:rPr>
        <w:rFonts w:asciiTheme="majorHAnsi" w:hAnsiTheme="majorHAnsi" w:cstheme="majorHAnsi"/>
        <w:lang w:eastAsia="zh-TW"/>
      </w:rPr>
      <w:ptab w:relativeTo="margin" w:alignment="right" w:leader="none"/>
    </w:r>
    <w:r w:rsidRPr="00451DB2">
      <w:rPr>
        <w:rFonts w:asciiTheme="majorHAnsi" w:hAnsiTheme="majorHAnsi" w:cstheme="majorHAnsi"/>
        <w:lang w:val="zh-TW" w:eastAsia="zh-TW"/>
      </w:rPr>
      <w:t>頁</w:t>
    </w:r>
    <w:r w:rsidRPr="00451DB2">
      <w:rPr>
        <w:rFonts w:asciiTheme="majorHAnsi" w:hAnsiTheme="majorHAnsi" w:cstheme="majorHAnsi"/>
        <w:lang w:val="zh-TW" w:eastAsia="zh-TW"/>
      </w:rPr>
      <w:t xml:space="preserve"> </w:t>
    </w:r>
    <w:r w:rsidR="00D810BE">
      <w:rPr>
        <w:lang w:eastAsia="zh-TW"/>
      </w:rPr>
      <w:fldChar w:fldCharType="begin"/>
    </w:r>
    <w:r>
      <w:rPr>
        <w:lang w:eastAsia="zh-TW"/>
      </w:rPr>
      <w:instrText xml:space="preserve"> PAGE   \* MERGEFORMAT </w:instrText>
    </w:r>
    <w:r w:rsidR="00D810BE">
      <w:rPr>
        <w:lang w:eastAsia="zh-TW"/>
      </w:rPr>
      <w:fldChar w:fldCharType="separate"/>
    </w:r>
    <w:r w:rsidR="00D21B5A" w:rsidRPr="00D21B5A">
      <w:rPr>
        <w:rFonts w:asciiTheme="majorHAnsi" w:hAnsiTheme="majorHAnsi" w:cstheme="majorHAnsi"/>
        <w:noProof/>
        <w:lang w:val="zh-TW" w:eastAsia="zh-TW"/>
      </w:rPr>
      <w:t>3</w:t>
    </w:r>
    <w:r w:rsidR="00D810BE">
      <w:rPr>
        <w:lang w:eastAsia="zh-TW"/>
      </w:rPr>
      <w:fldChar w:fldCharType="end"/>
    </w:r>
    <w:r w:rsidR="00D810BE">
      <w:rPr>
        <w:noProof/>
        <w:lang w:eastAsia="zh-TW"/>
      </w:rPr>
      <w:pict>
        <v:group id="_x0000_s1038" style="position:absolute;margin-left:0;margin-top:0;width:611.15pt;height:64.75pt;flip:y;z-index:251668480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4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810BE">
      <w:rPr>
        <w:noProof/>
        <w:lang w:eastAsia="zh-TW"/>
      </w:rPr>
      <w:pict>
        <v:rect id="_x0000_s1037" style="position:absolute;margin-left:0;margin-top:0;width:7.15pt;height:63.95pt;z-index:251667456;mso-height-percent:900;mso-position-horizontal:center;mso-position-horizontal-relative:left-margin-area;mso-position-vertical:bottom;mso-position-vertical-relative:page;mso-height-percent:900;mso-height-relative:bottom-margin-area" fillcolor="#7ba79d [3208]" strokecolor="#39564f [1608]">
          <w10:wrap anchorx="margin" anchory="page"/>
        </v:rect>
      </w:pict>
    </w:r>
    <w:r w:rsidR="00D810BE">
      <w:rPr>
        <w:noProof/>
        <w:lang w:eastAsia="zh-TW"/>
      </w:rPr>
      <w:pict>
        <v:rect id="_x0000_s1036" style="position:absolute;margin-left:0;margin-top:0;width:7.15pt;height:63.95pt;z-index:251666432;mso-height-percent:900;mso-position-horizontal:center;mso-position-horizontal-relative:right-margin-area;mso-position-vertical:bottom;mso-position-vertical-relative:page;mso-height-percent:900;mso-height-relative:bottom-margin-area" fillcolor="#7ba79d [3208]" strokecolor="#39564f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9F6" w:rsidRDefault="00ED69F6" w:rsidP="00730B0A">
      <w:pPr>
        <w:spacing w:after="0" w:line="240" w:lineRule="auto"/>
      </w:pPr>
      <w:r>
        <w:separator/>
      </w:r>
    </w:p>
  </w:footnote>
  <w:footnote w:type="continuationSeparator" w:id="1">
    <w:p w:rsidR="00ED69F6" w:rsidRDefault="00ED69F6" w:rsidP="0073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28" w:rsidRPr="00FB1728" w:rsidRDefault="00D810BE" w:rsidP="000B67AA">
    <w:pPr>
      <w:pStyle w:val="ae"/>
      <w:ind w:firstLineChars="300" w:firstLine="600"/>
      <w:rPr>
        <w:rFonts w:ascii="標楷體" w:eastAsia="標楷體" w:hAnsi="標楷體"/>
        <w:sz w:val="28"/>
        <w:szCs w:val="28"/>
        <w:lang w:eastAsia="zh-TW"/>
      </w:rPr>
    </w:pPr>
    <w:r w:rsidRPr="00D810BE">
      <w:rPr>
        <w:rFonts w:ascii="Book Antiqua" w:eastAsia="標楷體" w:hAnsi="Book Antiqua" w:cstheme="majorBidi"/>
        <w:sz w:val="20"/>
        <w:szCs w:val="20"/>
      </w:rPr>
      <w:pict>
        <v:group id="_x0000_s1033" style="position:absolute;left:0;text-align:left;margin-left:0;margin-top:0;width:594.45pt;height:74.75pt;z-index:251664384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3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07BAF">
      <w:rPr>
        <w:rFonts w:ascii="標楷體" w:eastAsia="標楷體" w:hAnsi="標楷體" w:hint="eastAsia"/>
        <w:noProof/>
        <w:sz w:val="28"/>
        <w:szCs w:val="28"/>
        <w:lang w:eastAsia="zh-TW"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-167005</wp:posOffset>
          </wp:positionV>
          <wp:extent cx="687070" cy="636270"/>
          <wp:effectExtent l="19050" t="0" r="0" b="0"/>
          <wp:wrapTight wrapText="bothSides">
            <wp:wrapPolygon edited="0">
              <wp:start x="-599" y="0"/>
              <wp:lineTo x="-599" y="20695"/>
              <wp:lineTo x="21560" y="20695"/>
              <wp:lineTo x="21560" y="0"/>
              <wp:lineTo x="-599" y="0"/>
            </wp:wrapPolygon>
          </wp:wrapTight>
          <wp:docPr id="8" name="圖片 3" descr="KJ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7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3B48">
      <w:rPr>
        <w:rFonts w:ascii="標楷體" w:eastAsia="標楷體" w:hAnsi="標楷體" w:hint="eastAsia"/>
        <w:sz w:val="28"/>
        <w:szCs w:val="28"/>
        <w:lang w:eastAsia="zh-TW"/>
      </w:rPr>
      <w:t xml:space="preserve"> </w:t>
    </w:r>
    <w:r w:rsidR="000B67AA">
      <w:rPr>
        <w:rFonts w:ascii="標楷體" w:eastAsia="標楷體" w:hAnsi="標楷體" w:hint="eastAsia"/>
        <w:sz w:val="28"/>
        <w:szCs w:val="28"/>
        <w:lang w:eastAsia="zh-TW"/>
      </w:rPr>
      <w:t xml:space="preserve">  </w:t>
    </w:r>
    <w:r w:rsidR="00FB1728" w:rsidRPr="00FB1728">
      <w:rPr>
        <w:rFonts w:ascii="標楷體" w:eastAsia="標楷體" w:hAnsi="標楷體" w:hint="eastAsia"/>
        <w:sz w:val="28"/>
        <w:szCs w:val="28"/>
        <w:lang w:eastAsia="zh-TW"/>
      </w:rPr>
      <w:t xml:space="preserve">坤展國際安全驗證有限公司 </w:t>
    </w:r>
  </w:p>
  <w:p w:rsidR="00FB1728" w:rsidRPr="00FB1728" w:rsidRDefault="00FB1728" w:rsidP="00FB1728">
    <w:pPr>
      <w:pStyle w:val="ae"/>
      <w:rPr>
        <w:rFonts w:ascii="Book Antiqua" w:eastAsia="標楷體" w:hAnsi="Book Antiqua"/>
        <w:sz w:val="20"/>
        <w:szCs w:val="20"/>
        <w:lang w:eastAsia="zh-TW"/>
      </w:rPr>
    </w:pPr>
    <w:r w:rsidRPr="00FB1728">
      <w:rPr>
        <w:rFonts w:ascii="Book Antiqua" w:hAnsi="Book Antiqua"/>
        <w:sz w:val="28"/>
        <w:szCs w:val="28"/>
        <w:lang w:eastAsia="zh-TW"/>
      </w:rPr>
      <w:t xml:space="preserve"> </w:t>
    </w:r>
    <w:r w:rsidR="00D07BAF">
      <w:rPr>
        <w:rFonts w:ascii="Book Antiqua" w:hAnsi="Book Antiqua" w:hint="eastAsia"/>
        <w:sz w:val="28"/>
        <w:szCs w:val="28"/>
        <w:lang w:eastAsia="zh-TW"/>
      </w:rPr>
      <w:t xml:space="preserve">     </w:t>
    </w:r>
    <w:r w:rsidR="006B3B48">
      <w:rPr>
        <w:rFonts w:ascii="Book Antiqua" w:hAnsi="Book Antiqua" w:hint="eastAsia"/>
        <w:sz w:val="28"/>
        <w:szCs w:val="28"/>
        <w:lang w:eastAsia="zh-TW"/>
      </w:rPr>
      <w:t xml:space="preserve"> </w:t>
    </w:r>
    <w:r w:rsidR="000B67AA">
      <w:rPr>
        <w:rFonts w:ascii="Book Antiqua" w:hAnsi="Book Antiqua" w:hint="eastAsia"/>
        <w:sz w:val="28"/>
        <w:szCs w:val="28"/>
        <w:lang w:eastAsia="zh-TW"/>
      </w:rPr>
      <w:t xml:space="preserve"> </w:t>
    </w:r>
    <w:r w:rsidRPr="00FB1728">
      <w:rPr>
        <w:rFonts w:ascii="Book Antiqua" w:hAnsi="Book Antiqua"/>
        <w:sz w:val="28"/>
        <w:szCs w:val="28"/>
        <w:lang w:eastAsia="zh-TW"/>
      </w:rPr>
      <w:t>K. J. Certification Co. Ltd.</w:t>
    </w:r>
    <w:r w:rsidRPr="00FB1728">
      <w:rPr>
        <w:rFonts w:ascii="Book Antiqua" w:hAnsi="Book Antiqua"/>
        <w:sz w:val="32"/>
        <w:szCs w:val="32"/>
        <w:lang w:eastAsia="zh-TW"/>
      </w:rPr>
      <w:t xml:space="preserve"> </w:t>
    </w:r>
    <w:r w:rsidRPr="00FB1728">
      <w:rPr>
        <w:rFonts w:ascii="Book Antiqua" w:hAnsi="Book Antiqua"/>
        <w:lang w:eastAsia="zh-TW"/>
      </w:rPr>
      <w:t xml:space="preserve"> </w:t>
    </w:r>
    <w:r w:rsidR="00D07BAF">
      <w:rPr>
        <w:rFonts w:hint="eastAsia"/>
        <w:lang w:eastAsia="zh-TW"/>
      </w:rPr>
      <w:t xml:space="preserve">                </w:t>
    </w:r>
    <w:r w:rsidRPr="00FB1728">
      <w:rPr>
        <w:rFonts w:ascii="Book Antiqua" w:eastAsia="標楷體" w:hAnsi="標楷體" w:hint="eastAsia"/>
        <w:sz w:val="20"/>
        <w:szCs w:val="20"/>
        <w:lang w:eastAsia="zh-TW"/>
      </w:rPr>
      <w:t>432</w:t>
    </w:r>
    <w:r w:rsidRPr="00FB1728">
      <w:rPr>
        <w:rFonts w:ascii="Book Antiqua" w:eastAsia="標楷體" w:hAnsi="標楷體"/>
        <w:sz w:val="20"/>
        <w:szCs w:val="20"/>
        <w:lang w:eastAsia="zh-TW"/>
      </w:rPr>
      <w:t>台中市大肚區遊園路二段</w:t>
    </w:r>
    <w:r w:rsidRPr="00FB1728">
      <w:rPr>
        <w:rFonts w:ascii="Book Antiqua" w:eastAsia="標楷體" w:hAnsi="Book Antiqua"/>
        <w:sz w:val="20"/>
        <w:szCs w:val="20"/>
        <w:lang w:eastAsia="zh-TW"/>
      </w:rPr>
      <w:t>43</w:t>
    </w:r>
    <w:r w:rsidRPr="00FB1728">
      <w:rPr>
        <w:rFonts w:ascii="Book Antiqua" w:eastAsia="標楷體" w:hAnsi="標楷體"/>
        <w:sz w:val="20"/>
        <w:szCs w:val="20"/>
        <w:lang w:eastAsia="zh-TW"/>
      </w:rPr>
      <w:t>號</w:t>
    </w:r>
    <w:r w:rsidRPr="00FB1728">
      <w:rPr>
        <w:rFonts w:ascii="Book Antiqua" w:eastAsia="標楷體" w:hAnsi="Book Antiqua"/>
        <w:sz w:val="20"/>
        <w:szCs w:val="20"/>
        <w:lang w:eastAsia="zh-TW"/>
      </w:rPr>
      <w:t>1</w:t>
    </w:r>
    <w:r w:rsidRPr="00FB1728">
      <w:rPr>
        <w:rFonts w:ascii="Book Antiqua" w:eastAsia="標楷體" w:hAnsi="標楷體"/>
        <w:sz w:val="20"/>
        <w:szCs w:val="20"/>
        <w:lang w:eastAsia="zh-TW"/>
      </w:rPr>
      <w:t>樓</w:t>
    </w:r>
  </w:p>
  <w:p w:rsidR="00623BB6" w:rsidRPr="00FB1728" w:rsidRDefault="00FB1728" w:rsidP="00330B38">
    <w:pPr>
      <w:pStyle w:val="ae"/>
      <w:jc w:val="center"/>
      <w:rPr>
        <w:rFonts w:ascii="Book Antiqua" w:eastAsia="標楷體" w:hAnsi="Book Antiqua" w:cstheme="majorBidi"/>
        <w:sz w:val="20"/>
        <w:szCs w:val="20"/>
        <w:lang w:eastAsia="zh-TW"/>
      </w:rPr>
    </w:pPr>
    <w:r w:rsidRPr="00FB1728">
      <w:rPr>
        <w:rFonts w:ascii="Book Antiqua" w:eastAsia="標楷體" w:hAnsi="Book Antiqua"/>
        <w:sz w:val="20"/>
        <w:szCs w:val="20"/>
        <w:lang w:eastAsia="zh-TW"/>
      </w:rPr>
      <w:t xml:space="preserve">                                                    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   </w:t>
    </w:r>
    <w:r w:rsidRPr="00FB1728">
      <w:rPr>
        <w:rFonts w:ascii="Book Antiqua" w:eastAsia="標楷體" w:hAnsi="Book Antiqua"/>
        <w:sz w:val="20"/>
        <w:szCs w:val="20"/>
        <w:lang w:eastAsia="zh-TW"/>
      </w:rPr>
      <w:t xml:space="preserve">Tel : +886-4-26910213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</w:t>
    </w:r>
    <w:r w:rsidRPr="00FB1728">
      <w:rPr>
        <w:rFonts w:ascii="Book Antiqua" w:eastAsia="標楷體" w:hAnsi="Book Antiqua"/>
        <w:sz w:val="20"/>
        <w:szCs w:val="20"/>
        <w:lang w:eastAsia="zh-TW"/>
      </w:rPr>
      <w:t>Fax :+886-4-26917117</w:t>
    </w:r>
    <w:r w:rsidR="00D810BE">
      <w:rPr>
        <w:rFonts w:ascii="Book Antiqua" w:eastAsia="標楷體" w:hAnsi="Book Antiqua" w:cstheme="majorBidi"/>
        <w:sz w:val="20"/>
        <w:szCs w:val="20"/>
      </w:rPr>
      <w:pict>
        <v:rect id="_x0000_s1032" style="position:absolute;left:0;text-align:left;margin-left:0;margin-top:0;width:7.15pt;height:64pt;z-index:251663360;mso-height-percent:900;mso-position-horizontal:center;mso-position-horizontal-relative:right-margin-area;mso-position-vertical:top;mso-position-vertical-relative:page;mso-height-percent:900;mso-height-relative:top-margin-area" fillcolor="#7ba79d [3208]" strokecolor="#39564f [1608]">
          <w10:wrap anchorx="page" anchory="page"/>
        </v:rect>
      </w:pict>
    </w:r>
    <w:r w:rsidR="00D810BE">
      <w:rPr>
        <w:rFonts w:ascii="Book Antiqua" w:eastAsia="標楷體" w:hAnsi="Book Antiqua" w:cstheme="majorBidi"/>
        <w:sz w:val="20"/>
        <w:szCs w:val="20"/>
      </w:rPr>
      <w:pict>
        <v:rect id="_x0000_s1031" style="position:absolute;left:0;text-align:left;margin-left:0;margin-top:0;width:7.15pt;height:64pt;z-index:251662336;mso-height-percent:900;mso-position-horizontal:center;mso-position-horizontal-relative:left-margin-area;mso-position-vertical:top;mso-position-vertical-relative:page;mso-height-percent:900;mso-height-relative:top-margin-area" fillcolor="#7ba79d [3208]" strokecolor="#39564f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5EB5"/>
    <w:multiLevelType w:val="hybridMultilevel"/>
    <w:tmpl w:val="D6D2DBF8"/>
    <w:lvl w:ilvl="0" w:tplc="3496ECA0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874596"/>
    <w:multiLevelType w:val="hybridMultilevel"/>
    <w:tmpl w:val="AD02D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1B21115"/>
    <w:multiLevelType w:val="hybridMultilevel"/>
    <w:tmpl w:val="F7EA5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8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1"/>
      <o:rules v:ext="edit">
        <o:r id="V:Rule3" type="connector" idref="#_x0000_s1039"/>
        <o:r id="V:Rule4" type="connector" idref="#_x0000_s1034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B0A"/>
    <w:rsid w:val="0000679A"/>
    <w:rsid w:val="0001648A"/>
    <w:rsid w:val="0009676C"/>
    <w:rsid w:val="000A02FA"/>
    <w:rsid w:val="000A4924"/>
    <w:rsid w:val="000B57F9"/>
    <w:rsid w:val="000B67AA"/>
    <w:rsid w:val="000C3394"/>
    <w:rsid w:val="0011372A"/>
    <w:rsid w:val="00131953"/>
    <w:rsid w:val="001351D3"/>
    <w:rsid w:val="00135FFF"/>
    <w:rsid w:val="00163550"/>
    <w:rsid w:val="0019396F"/>
    <w:rsid w:val="001963D5"/>
    <w:rsid w:val="001A66B8"/>
    <w:rsid w:val="001B750B"/>
    <w:rsid w:val="0023646D"/>
    <w:rsid w:val="002701E1"/>
    <w:rsid w:val="00272A65"/>
    <w:rsid w:val="002954F0"/>
    <w:rsid w:val="002D4F4F"/>
    <w:rsid w:val="002D7542"/>
    <w:rsid w:val="002F34E4"/>
    <w:rsid w:val="002F7CB9"/>
    <w:rsid w:val="00326DDB"/>
    <w:rsid w:val="00330B38"/>
    <w:rsid w:val="0036231A"/>
    <w:rsid w:val="003953FC"/>
    <w:rsid w:val="003B1FB7"/>
    <w:rsid w:val="00413539"/>
    <w:rsid w:val="00437D38"/>
    <w:rsid w:val="00451DB2"/>
    <w:rsid w:val="004C10B6"/>
    <w:rsid w:val="005059AF"/>
    <w:rsid w:val="0054236A"/>
    <w:rsid w:val="00550ECB"/>
    <w:rsid w:val="00575631"/>
    <w:rsid w:val="005D15C6"/>
    <w:rsid w:val="005D619D"/>
    <w:rsid w:val="005E5529"/>
    <w:rsid w:val="00613C1F"/>
    <w:rsid w:val="0061756F"/>
    <w:rsid w:val="00623BB6"/>
    <w:rsid w:val="00632A55"/>
    <w:rsid w:val="0064175C"/>
    <w:rsid w:val="00657A57"/>
    <w:rsid w:val="00684B23"/>
    <w:rsid w:val="006A3DB0"/>
    <w:rsid w:val="006A40E2"/>
    <w:rsid w:val="006B0F4A"/>
    <w:rsid w:val="006B3B48"/>
    <w:rsid w:val="006C0FE1"/>
    <w:rsid w:val="006C7B23"/>
    <w:rsid w:val="006D5298"/>
    <w:rsid w:val="006E5B08"/>
    <w:rsid w:val="00710310"/>
    <w:rsid w:val="007169AB"/>
    <w:rsid w:val="00730B0A"/>
    <w:rsid w:val="007623BA"/>
    <w:rsid w:val="007931B2"/>
    <w:rsid w:val="007A59DC"/>
    <w:rsid w:val="007C209F"/>
    <w:rsid w:val="007C483C"/>
    <w:rsid w:val="007C7F2E"/>
    <w:rsid w:val="007F069A"/>
    <w:rsid w:val="0084328A"/>
    <w:rsid w:val="0085417C"/>
    <w:rsid w:val="00864EBF"/>
    <w:rsid w:val="008B2022"/>
    <w:rsid w:val="008E1A2F"/>
    <w:rsid w:val="009220E5"/>
    <w:rsid w:val="009260AC"/>
    <w:rsid w:val="009745B8"/>
    <w:rsid w:val="009A3490"/>
    <w:rsid w:val="009A5834"/>
    <w:rsid w:val="009D215C"/>
    <w:rsid w:val="009D633C"/>
    <w:rsid w:val="00A01FBB"/>
    <w:rsid w:val="00A17B26"/>
    <w:rsid w:val="00A22811"/>
    <w:rsid w:val="00A345AA"/>
    <w:rsid w:val="00A35179"/>
    <w:rsid w:val="00A835E8"/>
    <w:rsid w:val="00A926FC"/>
    <w:rsid w:val="00A97731"/>
    <w:rsid w:val="00AA517F"/>
    <w:rsid w:val="00AA533D"/>
    <w:rsid w:val="00AA7120"/>
    <w:rsid w:val="00AB0A6D"/>
    <w:rsid w:val="00AD68A3"/>
    <w:rsid w:val="00B03011"/>
    <w:rsid w:val="00B16B36"/>
    <w:rsid w:val="00B657BC"/>
    <w:rsid w:val="00B8679F"/>
    <w:rsid w:val="00B93FE7"/>
    <w:rsid w:val="00BB4EAC"/>
    <w:rsid w:val="00BD2D6F"/>
    <w:rsid w:val="00BE3803"/>
    <w:rsid w:val="00BE6039"/>
    <w:rsid w:val="00BF1C60"/>
    <w:rsid w:val="00C01D68"/>
    <w:rsid w:val="00CE1915"/>
    <w:rsid w:val="00CE2565"/>
    <w:rsid w:val="00D0740F"/>
    <w:rsid w:val="00D07BAF"/>
    <w:rsid w:val="00D21B5A"/>
    <w:rsid w:val="00D23D3C"/>
    <w:rsid w:val="00D26FD0"/>
    <w:rsid w:val="00D34A54"/>
    <w:rsid w:val="00D64361"/>
    <w:rsid w:val="00D810BE"/>
    <w:rsid w:val="00D922D1"/>
    <w:rsid w:val="00DB72FC"/>
    <w:rsid w:val="00DF0B53"/>
    <w:rsid w:val="00E04334"/>
    <w:rsid w:val="00E16D28"/>
    <w:rsid w:val="00E209BD"/>
    <w:rsid w:val="00E5770D"/>
    <w:rsid w:val="00E7106B"/>
    <w:rsid w:val="00E738A8"/>
    <w:rsid w:val="00EA6D04"/>
    <w:rsid w:val="00EB0ECF"/>
    <w:rsid w:val="00EC36D1"/>
    <w:rsid w:val="00ED69F6"/>
    <w:rsid w:val="00F57FBF"/>
    <w:rsid w:val="00FB1728"/>
    <w:rsid w:val="00FC08E2"/>
    <w:rsid w:val="00FC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0A"/>
  </w:style>
  <w:style w:type="paragraph" w:styleId="1">
    <w:name w:val="heading 1"/>
    <w:basedOn w:val="a"/>
    <w:next w:val="a"/>
    <w:link w:val="10"/>
    <w:uiPriority w:val="9"/>
    <w:qFormat/>
    <w:rsid w:val="00730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B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B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B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B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B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B0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30B0A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730B0A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730B0A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標題 4 字元"/>
    <w:basedOn w:val="a0"/>
    <w:link w:val="4"/>
    <w:uiPriority w:val="9"/>
    <w:rsid w:val="00730B0A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標題 5 字元"/>
    <w:basedOn w:val="a0"/>
    <w:link w:val="5"/>
    <w:uiPriority w:val="9"/>
    <w:rsid w:val="00730B0A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標題 6 字元"/>
    <w:basedOn w:val="a0"/>
    <w:link w:val="6"/>
    <w:uiPriority w:val="9"/>
    <w:rsid w:val="00730B0A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標題 7 字元"/>
    <w:basedOn w:val="a0"/>
    <w:link w:val="7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730B0A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730B0A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30B0A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9">
    <w:name w:val="標題 字元"/>
    <w:basedOn w:val="a0"/>
    <w:link w:val="a8"/>
    <w:uiPriority w:val="10"/>
    <w:rsid w:val="00730B0A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30B0A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b">
    <w:name w:val="副標題 字元"/>
    <w:basedOn w:val="a0"/>
    <w:link w:val="aa"/>
    <w:uiPriority w:val="11"/>
    <w:rsid w:val="00730B0A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30B0A"/>
    <w:rPr>
      <w:b/>
      <w:bCs/>
    </w:rPr>
  </w:style>
  <w:style w:type="character" w:styleId="ad">
    <w:name w:val="Emphasis"/>
    <w:basedOn w:val="a0"/>
    <w:uiPriority w:val="20"/>
    <w:qFormat/>
    <w:rsid w:val="00730B0A"/>
    <w:rPr>
      <w:i/>
      <w:iCs/>
    </w:rPr>
  </w:style>
  <w:style w:type="paragraph" w:styleId="ae">
    <w:name w:val="No Spacing"/>
    <w:uiPriority w:val="1"/>
    <w:qFormat/>
    <w:rsid w:val="00730B0A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730B0A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730B0A"/>
    <w:rPr>
      <w:i/>
      <w:iCs/>
      <w:color w:val="000000" w:themeColor="text1"/>
    </w:rPr>
  </w:style>
  <w:style w:type="character" w:customStyle="1" w:styleId="af1">
    <w:name w:val="引文 字元"/>
    <w:basedOn w:val="a0"/>
    <w:link w:val="af0"/>
    <w:uiPriority w:val="29"/>
    <w:rsid w:val="00730B0A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730B0A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af3">
    <w:name w:val="鮮明引文 字元"/>
    <w:basedOn w:val="a0"/>
    <w:link w:val="af2"/>
    <w:uiPriority w:val="30"/>
    <w:rsid w:val="00730B0A"/>
    <w:rPr>
      <w:b/>
      <w:bCs/>
      <w:i/>
      <w:iCs/>
      <w:color w:val="94B6D2" w:themeColor="accent1"/>
    </w:rPr>
  </w:style>
  <w:style w:type="character" w:styleId="af4">
    <w:name w:val="Subtle Emphasis"/>
    <w:basedOn w:val="a0"/>
    <w:uiPriority w:val="19"/>
    <w:qFormat/>
    <w:rsid w:val="00730B0A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730B0A"/>
    <w:rPr>
      <w:b/>
      <w:bCs/>
      <w:i/>
      <w:iCs/>
      <w:color w:val="94B6D2" w:themeColor="accent1"/>
    </w:rPr>
  </w:style>
  <w:style w:type="character" w:styleId="af6">
    <w:name w:val="Subtle Reference"/>
    <w:basedOn w:val="a0"/>
    <w:uiPriority w:val="31"/>
    <w:qFormat/>
    <w:rsid w:val="00730B0A"/>
    <w:rPr>
      <w:smallCaps/>
      <w:color w:val="DD8047" w:themeColor="accent2"/>
      <w:u w:val="single"/>
    </w:rPr>
  </w:style>
  <w:style w:type="character" w:styleId="af7">
    <w:name w:val="Intense Reference"/>
    <w:basedOn w:val="a0"/>
    <w:uiPriority w:val="32"/>
    <w:qFormat/>
    <w:rsid w:val="00730B0A"/>
    <w:rPr>
      <w:b/>
      <w:bCs/>
      <w:smallCaps/>
      <w:color w:val="DD8047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730B0A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730B0A"/>
    <w:pPr>
      <w:outlineLvl w:val="9"/>
    </w:pPr>
  </w:style>
  <w:style w:type="character" w:styleId="afa">
    <w:name w:val="Placeholder Text"/>
    <w:basedOn w:val="a0"/>
    <w:uiPriority w:val="99"/>
    <w:semiHidden/>
    <w:rsid w:val="0036231A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3623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362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209BD"/>
  </w:style>
  <w:style w:type="table" w:styleId="afd">
    <w:name w:val="Table Grid"/>
    <w:basedOn w:val="a1"/>
    <w:uiPriority w:val="59"/>
    <w:rsid w:val="00D34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unhideWhenUsed/>
    <w:rsid w:val="00E04334"/>
    <w:rPr>
      <w:color w:val="0000FF"/>
      <w:u w:val="single"/>
    </w:rPr>
  </w:style>
  <w:style w:type="paragraph" w:customStyle="1" w:styleId="aff">
    <w:name w:val="樣式"/>
    <w:rsid w:val="00B93FE7"/>
    <w:pPr>
      <w:widowControl w:val="0"/>
      <w:autoSpaceDE w:val="0"/>
      <w:autoSpaceDN w:val="0"/>
      <w:adjustRightInd w:val="0"/>
      <w:spacing w:after="0" w:line="240" w:lineRule="auto"/>
    </w:pPr>
    <w:rPr>
      <w:rFonts w:ascii="PMingLiU" w:hAnsi="PMingLiU" w:cs="PMingLiU"/>
      <w:sz w:val="24"/>
      <w:szCs w:val="24"/>
      <w:lang w:eastAsia="zh-TW" w:bidi="ar-SA"/>
    </w:rPr>
  </w:style>
  <w:style w:type="paragraph" w:styleId="Web">
    <w:name w:val="Normal (Web)"/>
    <w:basedOn w:val="a"/>
    <w:rsid w:val="00864EB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68519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ike.baidu.com/view/543699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355579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台中市大肚區遊園路二段43號1樓                  1F. No.43, Sec. 2, Youyuan Rd., Dadu Dist., Taichung City 432, Taiwan                      Tel : +886-4-26910213  Fax : +886-4-26917117  </CompanyAddress>
  <CompanyPhone>Tel : +886-4-26910213</CompanyPhone>
  <CompanyFax>  Fax : +886-4-26917117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310</Words>
  <Characters>1771</Characters>
  <Application>Microsoft Office Word</Application>
  <DocSecurity>0</DocSecurity>
  <Lines>14</Lines>
  <Paragraphs>4</Paragraphs>
  <ScaleCrop>false</ScaleCrop>
  <Company>坤展國際安全驗證有限公司  K. J. Certification Co. Ltd.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user</cp:lastModifiedBy>
  <cp:revision>40</cp:revision>
  <cp:lastPrinted>2013-07-12T15:34:00Z</cp:lastPrinted>
  <dcterms:created xsi:type="dcterms:W3CDTF">2013-07-11T01:48:00Z</dcterms:created>
  <dcterms:modified xsi:type="dcterms:W3CDTF">2014-09-23T08:52:00Z</dcterms:modified>
</cp:coreProperties>
</file>